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color w:val="auto"/>
          <w:lang w:val="bg-BG"/>
        </w:rPr>
      </w:pPr>
      <w:bookmarkStart w:id="0" w:name="_GoBack"/>
      <w:r>
        <w:rPr>
          <w:rFonts w:hint="default" w:ascii="Times New Roman" w:hAnsi="Times New Roman" w:cs="Times New Roman"/>
          <w:b/>
          <w:color w:val="auto"/>
          <w:lang w:val="bg-BG"/>
        </w:rPr>
        <w:t>Назив конкурса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sr-Cyrl-BA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 xml:space="preserve">Циљ конкурса 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и </w:t>
      </w: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правни основ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за његово расписивање</w:t>
      </w:r>
      <w:r>
        <w:rPr>
          <w:rFonts w:hint="default" w:ascii="Times New Roman" w:hAnsi="Times New Roman" w:cs="Times New Roman"/>
          <w:color w:val="auto"/>
          <w:lang w:val="sr-Cyrl-BA"/>
        </w:rPr>
        <w:t xml:space="preserve">: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 xml:space="preserve">Јавни конкурс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 xml:space="preserve">се расписује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за подстицање програма или недостајућег дела средстава за финансирање програма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 xml:space="preserve"> и пројеката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 xml:space="preserve"> од јавног интереса за општину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 xml:space="preserve"> Србобран,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 xml:space="preserve"> које реализују удружења у области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социјалне и здравствене заштите и остала удружења. Под осталим удружењима, у смислу овог јавног конкурса, сматрају се удружења основана за остваривање циљева у следећим областима: борачко - инвалидска заштита, заштита животиња, подстицање и развој занатства, старих и ретких заната, заштита потрошача, заштита и промовисање људских и мањинских права, хуманитарни рад, омладински активизам, друштвена брига о деци, помоћ старима, образовање, друге, ванпривредне области које се не могу сврстати у област спорта, културе, туризма и ловног туризма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.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</w:t>
      </w:r>
      <w:r>
        <w:rPr>
          <w:rFonts w:hint="default" w:ascii="Times New Roman" w:hAnsi="Times New Roman" w:cs="Times New Roman"/>
          <w:color w:val="auto"/>
          <w:lang w:val="sr-Cyrl-BA"/>
        </w:rPr>
        <w:t xml:space="preserve">Правни основ: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Уредб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а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 xml:space="preserve"> о средствима за подстицање програма или недостајућег дела средстава за финансирање програма од јавног интереса које реализују удружења („Службени гласник РС”, бр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ој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 xml:space="preserve"> 16/2018)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 xml:space="preserve">,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Одлук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а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 xml:space="preserve"> о буџету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општине Србобран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 xml:space="preserve"> за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2020.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 xml:space="preserve"> год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ину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(“Службени лист општине Србобран”, број 20/2019)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 xml:space="preserve"> и Годишњи план јавних конкурса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 xml:space="preserve">општине Србобран за 2020. годину број 40-1/20-II од 30.01.2020. године и </w:t>
      </w:r>
      <w:r>
        <w:rPr>
          <w:rFonts w:hint="default" w:ascii="Times New Roman" w:hAnsi="Times New Roman" w:cs="Times New Roman"/>
          <w:color w:val="auto"/>
          <w:sz w:val="24"/>
          <w:szCs w:val="24"/>
          <w:shd w:val="clear"/>
          <w:lang w:val="sr-Cyrl-BA"/>
        </w:rPr>
        <w:t>40-2/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20-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en-GB"/>
        </w:rPr>
        <w:t>II o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 xml:space="preserve">д </w:t>
      </w:r>
      <w:r>
        <w:rPr>
          <w:rFonts w:hint="default" w:ascii="Times New Roman" w:hAnsi="Times New Roman" w:cs="Times New Roman"/>
          <w:color w:val="auto"/>
          <w:sz w:val="24"/>
          <w:szCs w:val="24"/>
          <w:shd w:val="clear"/>
          <w:lang w:val="sr-Cyrl-BA"/>
        </w:rPr>
        <w:t>02.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03.2020. године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color w:val="auto"/>
          <w:lang w:val="bg-BG"/>
        </w:rPr>
      </w:pPr>
      <w:r>
        <w:rPr>
          <w:rFonts w:hint="default" w:ascii="Times New Roman" w:hAnsi="Times New Roman" w:cs="Times New Roman"/>
          <w:b/>
          <w:color w:val="auto"/>
          <w:lang w:val="bg-BG"/>
        </w:rPr>
        <w:t>Основни услови конкурса:</w:t>
      </w:r>
    </w:p>
    <w:p>
      <w:pPr>
        <w:pStyle w:val="7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тип организације</w:t>
      </w:r>
      <w:r>
        <w:rPr>
          <w:rFonts w:hint="default" w:ascii="Times New Roman" w:hAnsi="Times New Roman" w:cs="Times New Roman"/>
          <w:b/>
          <w:bCs/>
          <w:color w:val="auto"/>
          <w:lang w:val="en-GB"/>
        </w:rPr>
        <w:t>:</w:t>
      </w:r>
      <w:r>
        <w:rPr>
          <w:rFonts w:hint="default" w:ascii="Times New Roman" w:hAnsi="Times New Roman" w:cs="Times New Roman"/>
          <w:b w:val="0"/>
          <w:bCs w:val="0"/>
          <w:color w:val="auto"/>
          <w:lang w:val="sr-Cyrl-BA"/>
        </w:rPr>
        <w:t xml:space="preserve"> удружење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које је регистровано у складу са Законом о удружењима („Службени гласник РС”, бр. 51/2009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Latn-RS"/>
        </w:rPr>
        <w:t>,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 xml:space="preserve"> 99/2011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Latn-RS"/>
        </w:rPr>
        <w:t xml:space="preserve">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RS"/>
        </w:rPr>
        <w:t>и 44/2018.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)</w:t>
      </w:r>
    </w:p>
    <w:p>
      <w:pPr>
        <w:pStyle w:val="7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формални услови</w:t>
      </w:r>
      <w:r>
        <w:rPr>
          <w:rFonts w:hint="default" w:ascii="Times New Roman" w:hAnsi="Times New Roman" w:cs="Times New Roman"/>
          <w:b/>
          <w:bCs/>
          <w:color w:val="auto"/>
        </w:rPr>
        <w:t xml:space="preserve"> </w:t>
      </w:r>
      <w:r>
        <w:rPr>
          <w:rFonts w:hint="default" w:ascii="Times New Roman" w:hAnsi="Times New Roman" w:cs="Times New Roman"/>
          <w:color w:val="auto"/>
          <w:lang w:val="bg-BG"/>
        </w:rPr>
        <w:t>које</w:t>
      </w:r>
      <w:r>
        <w:rPr>
          <w:rFonts w:hint="default" w:ascii="Times New Roman" w:hAnsi="Times New Roman" w:cs="Times New Roman"/>
          <w:color w:val="auto"/>
        </w:rPr>
        <w:t xml:space="preserve"> </w:t>
      </w:r>
      <w:r>
        <w:rPr>
          <w:rFonts w:hint="default" w:ascii="Times New Roman" w:hAnsi="Times New Roman" w:cs="Times New Roman"/>
          <w:color w:val="auto"/>
          <w:lang w:val="bg-BG"/>
        </w:rPr>
        <w:t>предлагачи</w:t>
      </w:r>
      <w:r>
        <w:rPr>
          <w:rFonts w:hint="default" w:ascii="Times New Roman" w:hAnsi="Times New Roman" w:cs="Times New Roman"/>
          <w:color w:val="auto"/>
        </w:rPr>
        <w:t xml:space="preserve"> </w:t>
      </w:r>
      <w:r>
        <w:rPr>
          <w:rFonts w:hint="default" w:ascii="Times New Roman" w:hAnsi="Times New Roman" w:cs="Times New Roman"/>
          <w:color w:val="auto"/>
          <w:lang w:val="bg-BG"/>
        </w:rPr>
        <w:t>морају да задовоље</w:t>
      </w:r>
      <w:r>
        <w:rPr>
          <w:rFonts w:hint="default" w:ascii="Times New Roman" w:hAnsi="Times New Roman" w:cs="Times New Roman"/>
          <w:color w:val="auto"/>
          <w:lang w:val="sr-Cyrl-BA"/>
        </w:rPr>
        <w:t xml:space="preserve">: </w:t>
      </w:r>
      <w:r>
        <w:rPr>
          <w:rFonts w:hint="default" w:ascii="Times New Roman" w:hAnsi="Times New Roman" w:cs="Times New Roman"/>
          <w:color w:val="auto"/>
          <w:lang w:val="sr-Cyrl-BA"/>
        </w:rPr>
        <w:t>удружење мора бити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 xml:space="preserve"> регистровано најмање 6 месеци за обављање делатности из области за коју се конкурс расписује и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које није у поступку ликвидације, стечајном поступку или под привременом забраном обављања делатности.</w:t>
      </w:r>
    </w:p>
    <w:p>
      <w:pPr>
        <w:pStyle w:val="7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посебни услови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које предлагачи програма морају да задовоље</w:t>
      </w:r>
      <w:r>
        <w:rPr>
          <w:rFonts w:hint="default" w:ascii="Times New Roman" w:hAnsi="Times New Roman" w:cs="Times New Roman"/>
          <w:color w:val="auto"/>
          <w:lang w:val="sr-Cyrl-BA"/>
        </w:rPr>
        <w:t>: да се циљеви удружења, према статутарним одредбама, остварују у области у којој се програм реализује</w:t>
      </w:r>
    </w:p>
    <w:p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sr-Cyrl-BA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Буџет пројекта</w:t>
      </w:r>
      <w:r>
        <w:rPr>
          <w:rFonts w:hint="default" w:ascii="Times New Roman" w:hAnsi="Times New Roman" w:cs="Times New Roman"/>
          <w:color w:val="auto"/>
          <w:lang w:val="bg-BG"/>
        </w:rPr>
        <w:t>, тј. минимални и максимални износ средстава потребних за реализацију пројекта који ће бити одобраван на конкурсу</w:t>
      </w:r>
      <w:r>
        <w:rPr>
          <w:rFonts w:hint="default" w:ascii="Times New Roman" w:hAnsi="Times New Roman" w:cs="Times New Roman"/>
          <w:color w:val="auto"/>
          <w:lang w:val="sr-Cyrl-BA"/>
        </w:rPr>
        <w:t xml:space="preserve">: </w:t>
      </w:r>
      <w:r>
        <w:rPr>
          <w:rFonts w:hint="default" w:ascii="Times New Roman" w:hAnsi="Times New Roman" w:cs="Times New Roman"/>
          <w:color w:val="auto"/>
          <w:lang w:val="sr-Cyrl-BA"/>
        </w:rPr>
        <w:t>најмање 50.000,00 динара, највише 500.000,00 динара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Структура буџета пројекта и висина прихватљивих трошкова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(трошкови морају бити неопходни за извођење пројекта и представљати стварне трошкове носилаца пројекта или њихових партнера током реализације пројекта; евидентирани у обрачунима или пореским документима носиоца пројекта или његових партнера; препознатљиви и проверљиви и подржани оригиналном документацијом)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Табела структуре буџета и висине буџетских категорија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(подела трошкова према буџетској категорији – </w:t>
      </w:r>
      <w:r>
        <w:rPr>
          <w:rFonts w:hint="default" w:ascii="Times New Roman" w:hAnsi="Times New Roman" w:cs="Times New Roman"/>
          <w:i/>
          <w:iCs/>
          <w:color w:val="auto"/>
          <w:lang w:val="bg-BG"/>
        </w:rPr>
        <w:t>људски ресурси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, тј. лица ангажована током целокупног трајања пројекта и проценат трошкова намењених овој категорији, </w:t>
      </w:r>
      <w:r>
        <w:rPr>
          <w:rFonts w:hint="default" w:ascii="Times New Roman" w:hAnsi="Times New Roman" w:cs="Times New Roman"/>
          <w:i/>
          <w:iCs/>
          <w:color w:val="auto"/>
          <w:lang w:val="bg-BG"/>
        </w:rPr>
        <w:t>трошкови за пројектне активности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, тј. оперативни трошкови за пројектне активности – путни трошкови, трошкови за превоз, трошкови за набавку опреме, материјалних средстава, прибора и другог материјала за учеснике активности и проценат трошкова намењених овој категорији, </w:t>
      </w:r>
      <w:r>
        <w:rPr>
          <w:rFonts w:hint="default" w:ascii="Times New Roman" w:hAnsi="Times New Roman" w:cs="Times New Roman"/>
          <w:i/>
          <w:iCs/>
          <w:color w:val="auto"/>
          <w:lang w:val="bg-BG"/>
        </w:rPr>
        <w:t>трошкови локалне канцеларије који настају реализацијом пројекта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, тј. режијски трошкови (телефон, интернет, струја, комуналије и сл. тако да одговарају сразмери коришћења поменутих ресурса за потребе пројекта), </w:t>
      </w:r>
      <w:r>
        <w:rPr>
          <w:rFonts w:hint="default" w:ascii="Times New Roman" w:hAnsi="Times New Roman" w:cs="Times New Roman"/>
          <w:i/>
          <w:iCs/>
          <w:color w:val="auto"/>
          <w:lang w:val="bg-BG"/>
        </w:rPr>
        <w:t xml:space="preserve">остали трошкови, услуге </w:t>
      </w:r>
      <w:r>
        <w:rPr>
          <w:rFonts w:hint="default" w:ascii="Times New Roman" w:hAnsi="Times New Roman" w:cs="Times New Roman"/>
          <w:color w:val="auto"/>
          <w:lang w:val="bg-BG"/>
        </w:rPr>
        <w:t>(штампање материјала, евалуација пројекта, конференције и семинари, промотивне активности, банкарске провизије и сл.)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sr-Cyrl-BA"/>
        </w:rPr>
      </w:pPr>
      <w:r>
        <w:rPr>
          <w:rFonts w:hint="default" w:ascii="Times New Roman" w:hAnsi="Times New Roman" w:cs="Times New Roman"/>
          <w:color w:val="auto"/>
          <w:lang w:val="bg-BG"/>
        </w:rPr>
        <w:t xml:space="preserve">Предвиђено </w:t>
      </w:r>
      <w:r>
        <w:rPr>
          <w:rFonts w:hint="default" w:ascii="Times New Roman" w:hAnsi="Times New Roman" w:cs="Times New Roman"/>
          <w:b/>
          <w:bCs/>
          <w:color w:val="auto"/>
          <w:lang w:val="bg-BG"/>
        </w:rPr>
        <w:t xml:space="preserve">трајање </w:t>
      </w:r>
      <w:r>
        <w:rPr>
          <w:rFonts w:hint="default" w:ascii="Times New Roman" w:hAnsi="Times New Roman" w:cs="Times New Roman"/>
          <w:color w:val="auto"/>
          <w:lang w:val="bg-BG"/>
        </w:rPr>
        <w:t>пројекта</w:t>
      </w:r>
      <w:r>
        <w:rPr>
          <w:rFonts w:hint="default" w:ascii="Times New Roman" w:hAnsi="Times New Roman" w:cs="Times New Roman"/>
          <w:color w:val="auto"/>
          <w:lang w:val="en-GB"/>
        </w:rPr>
        <w:t xml:space="preserve">: </w:t>
      </w:r>
      <w:r>
        <w:rPr>
          <w:rFonts w:hint="default" w:ascii="Times New Roman" w:hAnsi="Times New Roman" w:cs="Times New Roman"/>
          <w:color w:val="auto"/>
          <w:lang w:val="sr-Cyrl-BA"/>
        </w:rPr>
        <w:t>најдуже до краја 2020. године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sr-Cyrl-BA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Локација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на којој се очекује да ће се подржани пројекат реализовати</w:t>
      </w:r>
      <w:r>
        <w:rPr>
          <w:rFonts w:hint="default" w:ascii="Times New Roman" w:hAnsi="Times New Roman" w:cs="Times New Roman"/>
          <w:color w:val="auto"/>
          <w:lang w:val="sr-Cyrl-BA"/>
        </w:rPr>
        <w:t>: територија општине Србобран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sr-Cyrl-BA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Број предлога пројекта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који може да поднесе једна организација цивилног друштва по конкурсу</w:t>
      </w:r>
      <w:r>
        <w:rPr>
          <w:rFonts w:hint="default" w:ascii="Times New Roman" w:hAnsi="Times New Roman" w:cs="Times New Roman"/>
          <w:color w:val="auto"/>
          <w:lang w:val="sr-Cyrl-BA"/>
        </w:rPr>
        <w:t>: 1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sr-Cyrl-BA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Износ средстава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предвиђених за конкурс</w:t>
      </w:r>
      <w:r>
        <w:rPr>
          <w:rFonts w:hint="default" w:ascii="Times New Roman" w:hAnsi="Times New Roman" w:cs="Times New Roman"/>
          <w:color w:val="auto"/>
          <w:lang w:val="sr-Cyrl-BA"/>
        </w:rPr>
        <w:t>: укупно 800.000,00 динара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Елементи предлога пројекта и начин њиховог вредновања</w:t>
      </w: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 xml:space="preserve">Дефинисани </w:t>
      </w: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приоритети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у одабиру предлога пројеката (обезбеђено суфинансирање, референце које указују на капацитет за спровођење пројекта, сарадња са другим организацијама и др.)</w:t>
      </w:r>
    </w:p>
    <w:p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Критеријуми за вредновање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предлога пројеката, који, на пример, могу бити следећи: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Предложени програм/пројекат требало би да у погледу квалитета, садржине и природе испуњава следеће критеријуме: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законитост и ефикасност коришћења средстава (да ли су раније коришћена буџетска средства за финансирање активности удружења и, ако јесу, да ли су испуњене уговорне обавезе);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капацитет носиоца пројекта, предложене квалификације и референце пројектног тима усклађене са предложеним циљевима, резултатима и активностима пројекта;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 xml:space="preserve">адекватно партнерство – уколико се конкурсом жели утврдити обавеза партнерства; 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релевантност програма или пројекта за остваривање јавног интереса дефинисаног конкурсом;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усклађеност планираних активности са циљевима, очекиваним резултатима и циљном групом;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разрађеност и изводљивост плана реализације програма/пројекта, остваривост планираних резултата и мерљивост индикатора;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развојна, институционална и финансијска одрживост предложеног програма/пројекта;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значај промене која се очекује након примене пројекта;</w:t>
      </w:r>
    </w:p>
    <w:p>
      <w:pPr>
        <w:pStyle w:val="7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економска оправданост предлога буџета у односу на циљ и пројектне активности;</w:t>
      </w:r>
    </w:p>
    <w:p>
      <w:pPr>
        <w:pStyle w:val="7"/>
        <w:numPr>
          <w:ilvl w:val="0"/>
          <w:numId w:val="4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промоција, тј. публицитет који се огледа у начину информисања циљне групе и шире јавности о програму или пројекту.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При одобравању, приоритет имају програми/пројекти који су структурне и развојне природе.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 xml:space="preserve">Одобрени програми/пројекти финансирају се у висини и под условима који обезбеђују да се уз најмањи утрошак средстава из буџета </w:t>
      </w:r>
      <w:r>
        <w:rPr>
          <w:rFonts w:hint="default" w:ascii="Times New Roman" w:hAnsi="Times New Roman" w:cs="Times New Roman"/>
          <w:color w:val="auto"/>
          <w:lang w:val="sr-Cyrl-BA"/>
        </w:rPr>
        <w:t>општине Србобран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постигну намеравани резултати.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 xml:space="preserve">Одобрени програми/пројекти финансирају се преношењем средстава на посебан наменски рачун код </w:t>
      </w:r>
      <w:r>
        <w:rPr>
          <w:rFonts w:hint="default" w:ascii="Times New Roman" w:hAnsi="Times New Roman" w:cs="Times New Roman"/>
          <w:b/>
          <w:bCs/>
          <w:color w:val="auto"/>
          <w:lang w:val="bg-BG"/>
        </w:rPr>
        <w:t>Управе за трезор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. 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>Програми се финансирају једнократно или у ратама, у зависности од временског распона за реализацију програма/пројекта.</w:t>
      </w:r>
    </w:p>
    <w:p>
      <w:pPr>
        <w:pStyle w:val="7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lang w:val="bg-BG"/>
        </w:rPr>
        <w:t xml:space="preserve">Са предлагачем одобреног програма/пројекта </w:t>
      </w:r>
      <w:r>
        <w:rPr>
          <w:rFonts w:hint="default" w:ascii="Times New Roman" w:hAnsi="Times New Roman" w:cs="Times New Roman"/>
          <w:color w:val="auto"/>
          <w:lang w:val="sr-Cyrl-BA"/>
        </w:rPr>
        <w:t>општина Србобран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закључује уговор у складу са Законом о удружењима и Уредбом о средствима за подстицање програма или недостајућег дела средстава за финансирање програма од јавног интереса које реализују удружења.</w:t>
      </w:r>
    </w:p>
    <w:p>
      <w:pPr>
        <w:pStyle w:val="7"/>
        <w:numPr>
          <w:ilvl w:val="0"/>
          <w:numId w:val="0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</w:p>
    <w:p>
      <w:pPr>
        <w:autoSpaceDE w:val="0"/>
        <w:autoSpaceDN w:val="0"/>
        <w:adjustRightInd w:val="0"/>
        <w:jc w:val="both"/>
        <w:textAlignment w:val="center"/>
        <w:rPr>
          <w:rFonts w:hint="default" w:ascii="Times New Roman" w:hAnsi="Times New Roman" w:cs="Times New Roman"/>
          <w:b/>
          <w:bCs/>
          <w:color w:val="auto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Рокови и начин пријављивања на конкурс подразумевају следеће: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информације о начину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пријављивања</w:t>
      </w:r>
      <w:r>
        <w:rPr>
          <w:rFonts w:hint="default" w:ascii="Times New Roman" w:hAnsi="Times New Roman" w:cs="Times New Roman"/>
          <w:color w:val="auto"/>
          <w:lang w:val="sr-Cyrl-BA"/>
        </w:rPr>
        <w:t>: текст јавног конкурса са потребним обрасцима који се прилажу, може се преузети са интернет странице Општине Србобран, www.srbobran.rs и портала е-Управа.</w:t>
      </w:r>
    </w:p>
    <w:p>
      <w:pPr>
        <w:pStyle w:val="7"/>
        <w:numPr>
          <w:ilvl w:val="0"/>
          <w:numId w:val="0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firstLine="240" w:firstLineChars="100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Учесник конкурса обавезан је да достави следећу документацију:</w:t>
      </w:r>
    </w:p>
    <w:p>
      <w:pPr>
        <w:pStyle w:val="7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Попуњен образац пријаве са прилозима (Образац предлога програма и Образац буџета програма са наративним приказом буџета)</w:t>
      </w:r>
    </w:p>
    <w:p>
      <w:pPr>
        <w:pStyle w:val="7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Доказ о ликвидности удружења, односно извештај о завршном рачуну за претходну годину уколико конкурише за износе преко 500.000 динара</w:t>
      </w:r>
    </w:p>
    <w:p>
      <w:pPr>
        <w:pStyle w:val="7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Потписану и оверену изјаву овлашћеног лица, да ће средства користити по програму</w:t>
      </w:r>
    </w:p>
    <w:p>
      <w:pPr>
        <w:pStyle w:val="7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Наративни извештај о реализованим програмима за 2019. годину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рок за достављање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пријава</w:t>
      </w:r>
      <w:r>
        <w:rPr>
          <w:rFonts w:hint="default" w:ascii="Times New Roman" w:hAnsi="Times New Roman" w:cs="Times New Roman"/>
          <w:color w:val="auto"/>
          <w:lang w:val="sr-Cyrl-BA"/>
        </w:rPr>
        <w:t>: 15 дана од дана објављивања јавног конкурса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sr-Cyrl-BA"/>
        </w:rPr>
        <w:t>*</w:t>
      </w:r>
    </w:p>
    <w:p>
      <w:pPr>
        <w:pStyle w:val="7"/>
        <w:numPr>
          <w:ilvl w:val="0"/>
          <w:numId w:val="0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284" w:leftChars="0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sr-Cyrl-BA"/>
        </w:rPr>
        <w:t xml:space="preserve">* У складу са Одлуком о наставку тока рокова по расписаном јавном конкурсу за суфинансирање/финансирање програма удружења у области социјалне и здравствене заштите и осталих удружења у 2020. години, рок за подношење пријаве је </w:t>
      </w: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sr-Latn-RS"/>
        </w:rPr>
        <w:t>6</w:t>
      </w:r>
      <w:r>
        <w:rPr>
          <w:rFonts w:hint="default" w:ascii="Times New Roman" w:hAnsi="Times New Roman" w:cs="Times New Roman"/>
          <w:b/>
          <w:bCs/>
          <w:color w:val="auto"/>
          <w:sz w:val="24"/>
          <w:szCs w:val="24"/>
          <w:lang w:val="sr-Cyrl-BA"/>
        </w:rPr>
        <w:t xml:space="preserve"> дана од дана објављивања наведене одлуке, односно крајњи рок за подношење пријаве на овај јавни конкурс је 04.06.2020. године.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контакт подаци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особе којој се заинтересована лица могу обратити за сва питања у вези са конкурсом</w:t>
      </w:r>
      <w:r>
        <w:rPr>
          <w:rFonts w:hint="default" w:ascii="Times New Roman" w:hAnsi="Times New Roman" w:cs="Times New Roman"/>
          <w:color w:val="auto"/>
          <w:lang w:val="sr-Cyrl-BA"/>
        </w:rPr>
        <w:t xml:space="preserve">: Исидора Јанковић, </w:t>
      </w:r>
      <w:r>
        <w:rPr>
          <w:rFonts w:hint="default" w:ascii="Times New Roman" w:hAnsi="Times New Roman" w:cs="Times New Roman"/>
          <w:color w:val="auto"/>
          <w:sz w:val="24"/>
          <w:szCs w:val="24"/>
          <w:lang w:val="bg-BG"/>
        </w:rPr>
        <w:t>број телефона 021/730-020, локал 113 или путем електронске поште на адресу isidora.jankovic@srbobran48.rs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начин обавештавања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предлагача пројеката о одлуци о одобравању подршке</w:t>
      </w:r>
      <w:r>
        <w:rPr>
          <w:rFonts w:hint="default" w:ascii="Times New Roman" w:hAnsi="Times New Roman" w:cs="Times New Roman"/>
          <w:color w:val="auto"/>
          <w:lang w:val="sr-Cyrl-BA"/>
        </w:rPr>
        <w:t>: објавом на званичној интернет презентацији општине Србобран</w:t>
      </w:r>
    </w:p>
    <w:p>
      <w:pPr>
        <w:pStyle w:val="7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начин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auto"/>
          <w:lang w:val="bg-BG"/>
        </w:rPr>
        <w:t>обавештавања</w:t>
      </w:r>
      <w:r>
        <w:rPr>
          <w:rFonts w:hint="default" w:ascii="Times New Roman" w:hAnsi="Times New Roman" w:cs="Times New Roman"/>
          <w:color w:val="auto"/>
          <w:lang w:val="bg-BG"/>
        </w:rPr>
        <w:t xml:space="preserve"> шире јавности о одлуци о одобравању подршке</w:t>
      </w:r>
      <w:r>
        <w:rPr>
          <w:rFonts w:hint="default" w:ascii="Times New Roman" w:hAnsi="Times New Roman" w:cs="Times New Roman"/>
          <w:color w:val="auto"/>
          <w:lang w:val="sr-Cyrl-BA"/>
        </w:rPr>
        <w:t>: објавом на званичној интернет презентацији општине Србобран</w:t>
      </w:r>
    </w:p>
    <w:p>
      <w:pPr>
        <w:pStyle w:val="7"/>
        <w:numPr>
          <w:ilvl w:val="0"/>
          <w:numId w:val="0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284" w:leftChars="0"/>
        <w:contextualSpacing w:val="0"/>
        <w:jc w:val="both"/>
        <w:textAlignment w:val="center"/>
        <w:rPr>
          <w:rFonts w:hint="default" w:ascii="Times New Roman" w:hAnsi="Times New Roman" w:cs="Times New Roman"/>
          <w:color w:val="auto"/>
          <w:lang w:val="bg-BG"/>
        </w:rPr>
      </w:pPr>
    </w:p>
    <w:bookmarkEnd w:id="0"/>
    <w:sectPr>
      <w:pgSz w:w="11906" w:h="16838"/>
      <w:pgMar w:top="1134" w:right="1134" w:bottom="1134" w:left="1418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Minion Pro">
    <w:altName w:val="Segoe Print"/>
    <w:panose1 w:val="02040503050201020203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panose1 w:val="020B0503030403020204"/>
    <w:charset w:val="00"/>
    <w:family w:val="swiss"/>
    <w:pitch w:val="default"/>
    <w:sig w:usb0="00000000" w:usb1="00000000" w:usb2="00000000" w:usb3="00000000" w:csb0="0000009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420E8"/>
    <w:multiLevelType w:val="multilevel"/>
    <w:tmpl w:val="13F420E8"/>
    <w:lvl w:ilvl="0" w:tentative="0">
      <w:start w:val="1"/>
      <w:numFmt w:val="decimal"/>
      <w:lvlText w:val="%1."/>
      <w:lvlJc w:val="left"/>
      <w:pPr>
        <w:ind w:left="1344" w:hanging="360"/>
      </w:pPr>
    </w:lvl>
    <w:lvl w:ilvl="1" w:tentative="0">
      <w:start w:val="1"/>
      <w:numFmt w:val="lowerLetter"/>
      <w:lvlText w:val="%2."/>
      <w:lvlJc w:val="left"/>
      <w:pPr>
        <w:ind w:left="2064" w:hanging="360"/>
      </w:pPr>
    </w:lvl>
    <w:lvl w:ilvl="2" w:tentative="0">
      <w:start w:val="1"/>
      <w:numFmt w:val="lowerRoman"/>
      <w:lvlText w:val="%3."/>
      <w:lvlJc w:val="right"/>
      <w:pPr>
        <w:ind w:left="2784" w:hanging="180"/>
      </w:pPr>
    </w:lvl>
    <w:lvl w:ilvl="3" w:tentative="0">
      <w:start w:val="1"/>
      <w:numFmt w:val="decimal"/>
      <w:lvlText w:val="%4."/>
      <w:lvlJc w:val="left"/>
      <w:pPr>
        <w:ind w:left="3504" w:hanging="360"/>
      </w:pPr>
    </w:lvl>
    <w:lvl w:ilvl="4" w:tentative="0">
      <w:start w:val="1"/>
      <w:numFmt w:val="lowerLetter"/>
      <w:lvlText w:val="%5."/>
      <w:lvlJc w:val="left"/>
      <w:pPr>
        <w:ind w:left="4224" w:hanging="360"/>
      </w:pPr>
    </w:lvl>
    <w:lvl w:ilvl="5" w:tentative="0">
      <w:start w:val="1"/>
      <w:numFmt w:val="lowerRoman"/>
      <w:lvlText w:val="%6."/>
      <w:lvlJc w:val="right"/>
      <w:pPr>
        <w:ind w:left="4944" w:hanging="180"/>
      </w:pPr>
    </w:lvl>
    <w:lvl w:ilvl="6" w:tentative="0">
      <w:start w:val="1"/>
      <w:numFmt w:val="decimal"/>
      <w:lvlText w:val="%7."/>
      <w:lvlJc w:val="left"/>
      <w:pPr>
        <w:ind w:left="5664" w:hanging="360"/>
      </w:pPr>
    </w:lvl>
    <w:lvl w:ilvl="7" w:tentative="0">
      <w:start w:val="1"/>
      <w:numFmt w:val="lowerLetter"/>
      <w:lvlText w:val="%8."/>
      <w:lvlJc w:val="left"/>
      <w:pPr>
        <w:ind w:left="6384" w:hanging="360"/>
      </w:pPr>
    </w:lvl>
    <w:lvl w:ilvl="8" w:tentative="0">
      <w:start w:val="1"/>
      <w:numFmt w:val="lowerRoman"/>
      <w:lvlText w:val="%9."/>
      <w:lvlJc w:val="right"/>
      <w:pPr>
        <w:ind w:left="7104" w:hanging="180"/>
      </w:pPr>
    </w:lvl>
  </w:abstractNum>
  <w:abstractNum w:abstractNumId="1">
    <w:nsid w:val="1B2505BC"/>
    <w:multiLevelType w:val="multilevel"/>
    <w:tmpl w:val="1B2505BC"/>
    <w:lvl w:ilvl="0" w:tentative="0">
      <w:start w:val="1"/>
      <w:numFmt w:val="bullet"/>
      <w:lvlText w:val=""/>
      <w:lvlJc w:val="left"/>
      <w:pPr>
        <w:ind w:left="1344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0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7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9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6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3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04" w:hanging="360"/>
      </w:pPr>
      <w:rPr>
        <w:rFonts w:hint="default" w:ascii="Wingdings" w:hAnsi="Wingdings"/>
      </w:rPr>
    </w:lvl>
  </w:abstractNum>
  <w:abstractNum w:abstractNumId="2">
    <w:nsid w:val="2439512E"/>
    <w:multiLevelType w:val="multilevel"/>
    <w:tmpl w:val="2439512E"/>
    <w:lvl w:ilvl="0" w:tentative="0">
      <w:start w:val="1"/>
      <w:numFmt w:val="bullet"/>
      <w:lvlText w:val=""/>
      <w:lvlJc w:val="left"/>
      <w:pPr>
        <w:ind w:left="162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3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5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2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9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88" w:hanging="360"/>
      </w:pPr>
      <w:rPr>
        <w:rFonts w:hint="default" w:ascii="Wingdings" w:hAnsi="Wingdings"/>
      </w:rPr>
    </w:lvl>
  </w:abstractNum>
  <w:abstractNum w:abstractNumId="3">
    <w:nsid w:val="2FF507A9"/>
    <w:multiLevelType w:val="multilevel"/>
    <w:tmpl w:val="2FF507A9"/>
    <w:lvl w:ilvl="0" w:tentative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363" w:hanging="360"/>
      </w:pPr>
    </w:lvl>
    <w:lvl w:ilvl="2" w:tentative="0">
      <w:start w:val="1"/>
      <w:numFmt w:val="lowerRoman"/>
      <w:lvlText w:val="%3."/>
      <w:lvlJc w:val="right"/>
      <w:pPr>
        <w:ind w:left="2083" w:hanging="180"/>
      </w:pPr>
    </w:lvl>
    <w:lvl w:ilvl="3" w:tentative="0">
      <w:start w:val="1"/>
      <w:numFmt w:val="decimal"/>
      <w:lvlText w:val="%4."/>
      <w:lvlJc w:val="left"/>
      <w:pPr>
        <w:ind w:left="2803" w:hanging="360"/>
      </w:pPr>
    </w:lvl>
    <w:lvl w:ilvl="4" w:tentative="0">
      <w:start w:val="1"/>
      <w:numFmt w:val="lowerLetter"/>
      <w:lvlText w:val="%5."/>
      <w:lvlJc w:val="left"/>
      <w:pPr>
        <w:ind w:left="3523" w:hanging="360"/>
      </w:pPr>
    </w:lvl>
    <w:lvl w:ilvl="5" w:tentative="0">
      <w:start w:val="1"/>
      <w:numFmt w:val="lowerRoman"/>
      <w:lvlText w:val="%6."/>
      <w:lvlJc w:val="right"/>
      <w:pPr>
        <w:ind w:left="4243" w:hanging="180"/>
      </w:pPr>
    </w:lvl>
    <w:lvl w:ilvl="6" w:tentative="0">
      <w:start w:val="1"/>
      <w:numFmt w:val="decimal"/>
      <w:lvlText w:val="%7."/>
      <w:lvlJc w:val="left"/>
      <w:pPr>
        <w:ind w:left="4963" w:hanging="360"/>
      </w:pPr>
    </w:lvl>
    <w:lvl w:ilvl="7" w:tentative="0">
      <w:start w:val="1"/>
      <w:numFmt w:val="lowerLetter"/>
      <w:lvlText w:val="%8."/>
      <w:lvlJc w:val="left"/>
      <w:pPr>
        <w:ind w:left="5683" w:hanging="360"/>
      </w:pPr>
    </w:lvl>
    <w:lvl w:ilvl="8" w:tentative="0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6C62332F"/>
    <w:multiLevelType w:val="multilevel"/>
    <w:tmpl w:val="6C62332F"/>
    <w:lvl w:ilvl="0" w:tentative="0">
      <w:start w:val="1"/>
      <w:numFmt w:val="bullet"/>
      <w:lvlText w:val=""/>
      <w:lvlJc w:val="left"/>
      <w:pPr>
        <w:ind w:left="162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34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6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8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50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22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94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6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88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BD5"/>
    <w:rsid w:val="00084310"/>
    <w:rsid w:val="00142A14"/>
    <w:rsid w:val="001E13F3"/>
    <w:rsid w:val="00214A94"/>
    <w:rsid w:val="002A2BD5"/>
    <w:rsid w:val="003A5F53"/>
    <w:rsid w:val="004C6C06"/>
    <w:rsid w:val="00607519"/>
    <w:rsid w:val="008D0AB4"/>
    <w:rsid w:val="0090293D"/>
    <w:rsid w:val="0095190B"/>
    <w:rsid w:val="009F428A"/>
    <w:rsid w:val="00A014A1"/>
    <w:rsid w:val="00A34F2D"/>
    <w:rsid w:val="00D73D47"/>
    <w:rsid w:val="00E92682"/>
    <w:rsid w:val="00EB76FC"/>
    <w:rsid w:val="00EF2457"/>
    <w:rsid w:val="00FB02E9"/>
    <w:rsid w:val="32526C1A"/>
    <w:rsid w:val="38C37FC9"/>
    <w:rsid w:val="39063626"/>
    <w:rsid w:val="4EE3269C"/>
    <w:rsid w:val="7FD8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HAnsi" w:cstheme="minorBidi"/>
      <w:sz w:val="24"/>
      <w:szCs w:val="24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footnote reference"/>
    <w:basedOn w:val="2"/>
    <w:qFormat/>
    <w:uiPriority w:val="99"/>
    <w:rPr>
      <w:w w:val="100"/>
      <w:vertAlign w:val="superscript"/>
    </w:rPr>
  </w:style>
  <w:style w:type="paragraph" w:customStyle="1" w:styleId="5">
    <w:name w:val="Tekst"/>
    <w:basedOn w:val="1"/>
    <w:qFormat/>
    <w:uiPriority w:val="99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6">
    <w:name w:val="Naslov Prilog"/>
    <w:basedOn w:val="1"/>
    <w:qFormat/>
    <w:uiPriority w:val="99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7">
    <w:name w:val="List Paragraph"/>
    <w:basedOn w:val="1"/>
    <w:qFormat/>
    <w:uiPriority w:val="99"/>
    <w:pPr>
      <w:ind w:left="720"/>
      <w:contextualSpacing/>
    </w:pPr>
  </w:style>
  <w:style w:type="paragraph" w:customStyle="1" w:styleId="8">
    <w:name w:val="Nabrajanje 1.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9">
    <w:name w:val="[No Paragraph Style]"/>
    <w:qFormat/>
    <w:uiPriority w:val="0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 w:eastAsiaTheme="minorHAnsi"/>
      <w:color w:val="000000"/>
      <w:sz w:val="24"/>
      <w:szCs w:val="24"/>
      <w:lang w:val="en-US" w:eastAsia="en-US" w:bidi="ar-SA"/>
    </w:rPr>
  </w:style>
  <w:style w:type="paragraph" w:customStyle="1" w:styleId="10">
    <w:name w:val="Tekst ispod naslova"/>
    <w:basedOn w:val="1"/>
    <w:uiPriority w:val="99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11">
    <w:name w:val="Clan naslov"/>
    <w:basedOn w:val="10"/>
    <w:qFormat/>
    <w:uiPriority w:val="99"/>
    <w:pPr>
      <w:ind w:left="0" w:right="0"/>
    </w:pPr>
    <w:rPr>
      <w:i/>
      <w:iCs/>
    </w:rPr>
  </w:style>
  <w:style w:type="paragraph" w:customStyle="1" w:styleId="12">
    <w:name w:val="Clan"/>
    <w:basedOn w:val="1"/>
    <w:uiPriority w:val="99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13">
    <w:name w:val="Nabrajanje"/>
    <w:basedOn w:val="1"/>
    <w:qFormat/>
    <w:uiPriority w:val="9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14">
    <w:name w:val="Nabrajanje numeracija"/>
    <w:qFormat/>
    <w:uiPriority w:val="99"/>
    <w:rPr>
      <w:rFonts w:ascii="Minion Pro" w:hAnsi="Minion Pro" w:cs="Minion Pro"/>
      <w:sz w:val="22"/>
      <w:szCs w:val="22"/>
    </w:rPr>
  </w:style>
  <w:style w:type="paragraph" w:customStyle="1" w:styleId="15">
    <w:name w:val="Fusnota"/>
    <w:basedOn w:val="9"/>
    <w:uiPriority w:val="99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16">
    <w:name w:val="Nabrajanje 1.1."/>
    <w:basedOn w:val="13"/>
    <w:qFormat/>
    <w:uiPriority w:val="99"/>
    <w:pPr>
      <w:tabs>
        <w:tab w:val="left" w:pos="907"/>
        <w:tab w:val="clear" w:pos="720"/>
      </w:tabs>
      <w:ind w:left="907"/>
    </w:pPr>
  </w:style>
  <w:style w:type="paragraph" w:customStyle="1" w:styleId="17">
    <w:name w:val="Nabrajanje 1.1. - 1."/>
    <w:basedOn w:val="16"/>
    <w:qFormat/>
    <w:uiPriority w:val="99"/>
  </w:style>
  <w:style w:type="paragraph" w:customStyle="1" w:styleId="18">
    <w:name w:val="Nabrajanje 1.1.1."/>
    <w:basedOn w:val="16"/>
    <w:qFormat/>
    <w:uiPriority w:val="99"/>
    <w:pPr>
      <w:ind w:left="1191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126349-6651-214C-858D-294556667CA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887</Words>
  <Characters>5056</Characters>
  <Lines>42</Lines>
  <Paragraphs>11</Paragraphs>
  <TotalTime>1</TotalTime>
  <ScaleCrop>false</ScaleCrop>
  <LinksUpToDate>false</LinksUpToDate>
  <CharactersWithSpaces>5932</CharactersWithSpaces>
  <Application>WPS Office_11.2.0.9363_F1E327BC-269C-435d-A152-05C5408002CA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2019-10-21T10:50:00Z</dcterms:created>
  <dc:creator>Microsoft Office User</dc:creator>
  <cp:lastModifiedBy>Korisnik</cp:lastModifiedBy>
  <dcterms:modified xsi:type="dcterms:W3CDTF">2020-05-29T06:05:29Z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1033-11.2.0.9363</vt:lpwstr>
  </property>
</Properties>
</file>